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3891B" w14:textId="75042BC4" w:rsidR="00DF018A" w:rsidRPr="001B14C1" w:rsidRDefault="00DF018A" w:rsidP="00DF018A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</w:t>
      </w:r>
      <w:r w:rsidR="000D5C67">
        <w:rPr>
          <w:rFonts w:eastAsia="SimSun"/>
          <w:lang w:eastAsia="zh-CN"/>
        </w:rPr>
        <w:t>-bis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bookmarkStart w:id="2" w:name="_GoBack"/>
      <w:bookmarkEnd w:id="2"/>
      <w:r w:rsidRPr="008C2E11">
        <w:t>R4-19</w:t>
      </w:r>
      <w:r w:rsidR="000C07E1" w:rsidRPr="008C2E11">
        <w:t>0</w:t>
      </w:r>
      <w:r w:rsidR="008C2E11" w:rsidRPr="008C2E11">
        <w:t>4317</w:t>
      </w:r>
    </w:p>
    <w:p w14:paraId="35BF833C" w14:textId="026277B1" w:rsidR="00DF018A" w:rsidRPr="008E18F2" w:rsidRDefault="004C4473" w:rsidP="00DF018A">
      <w:pPr>
        <w:pStyle w:val="a"/>
        <w:rPr>
          <w:rFonts w:eastAsia="SimSun"/>
          <w:lang w:eastAsia="zh-CN"/>
        </w:rPr>
      </w:pPr>
      <w:r>
        <w:rPr>
          <w:rFonts w:cs="Arial"/>
        </w:rPr>
        <w:t>Xi’an</w:t>
      </w:r>
      <w:r w:rsidR="00DF018A" w:rsidRPr="00E23C3E">
        <w:rPr>
          <w:rFonts w:hint="eastAsia"/>
        </w:rPr>
        <w:t>,</w:t>
      </w:r>
      <w:r w:rsidR="00DF018A"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China</w:t>
      </w:r>
      <w:r w:rsidR="00DF018A" w:rsidRPr="00A62DA7">
        <w:t xml:space="preserve">, </w:t>
      </w:r>
      <w:r>
        <w:rPr>
          <w:rFonts w:cs="Arial"/>
        </w:rPr>
        <w:t>8</w:t>
      </w:r>
      <w:r w:rsidR="00DF018A" w:rsidRPr="00084769">
        <w:rPr>
          <w:rFonts w:cs="Arial"/>
          <w:vertAlign w:val="superscript"/>
        </w:rPr>
        <w:t>th</w:t>
      </w:r>
      <w:r w:rsidR="00DF018A" w:rsidRPr="00084769">
        <w:rPr>
          <w:rFonts w:cs="Arial"/>
        </w:rPr>
        <w:t xml:space="preserve"> – </w:t>
      </w:r>
      <w:r>
        <w:rPr>
          <w:rFonts w:cs="Arial"/>
        </w:rPr>
        <w:t>12</w:t>
      </w:r>
      <w:r w:rsidRPr="004C4473">
        <w:rPr>
          <w:rFonts w:cs="Arial"/>
          <w:vertAlign w:val="superscript"/>
        </w:rPr>
        <w:t>th</w:t>
      </w:r>
      <w:r w:rsidR="00DF018A">
        <w:rPr>
          <w:rFonts w:cs="Arial"/>
        </w:rPr>
        <w:t xml:space="preserve"> </w:t>
      </w:r>
      <w:r>
        <w:rPr>
          <w:rFonts w:cs="Arial"/>
        </w:rPr>
        <w:t>April</w:t>
      </w:r>
      <w:r w:rsidR="00DF018A">
        <w:t>, 2019</w:t>
      </w:r>
    </w:p>
    <w:bookmarkEnd w:id="0"/>
    <w:bookmarkEnd w:id="1"/>
    <w:p w14:paraId="0F1A7801" w14:textId="77777777" w:rsidR="0043450E" w:rsidRPr="009674D4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057A84BA" w14:textId="691F39B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89736D">
        <w:rPr>
          <w:sz w:val="22"/>
        </w:rPr>
        <w:t>, Nokia Shanghai Bell</w:t>
      </w:r>
    </w:p>
    <w:p w14:paraId="48427630" w14:textId="23F37FD7" w:rsidR="0043450E" w:rsidRDefault="0043450E" w:rsidP="0043450E">
      <w:pPr>
        <w:rPr>
          <w:color w:val="000000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0D5C67">
        <w:rPr>
          <w:sz w:val="22"/>
        </w:rPr>
        <w:t>Integrated access and backhaul in RAN4 specifications</w:t>
      </w:r>
    </w:p>
    <w:p w14:paraId="38BCE621" w14:textId="63A8BD1C" w:rsidR="00C24D31" w:rsidRPr="000D5C67" w:rsidRDefault="00C24D31" w:rsidP="0043450E">
      <w:pPr>
        <w:rPr>
          <w:sz w:val="22"/>
        </w:rPr>
      </w:pPr>
      <w:r w:rsidRPr="0057669F">
        <w:rPr>
          <w:b/>
          <w:color w:val="000000"/>
          <w:lang w:val="en-US"/>
        </w:rPr>
        <w:t>Agenda item:</w:t>
      </w:r>
      <w:r w:rsidR="00E46CA7">
        <w:rPr>
          <w:b/>
          <w:color w:val="000000"/>
          <w:lang w:val="en-US"/>
        </w:rPr>
        <w:tab/>
      </w:r>
      <w:r w:rsidR="00E46CA7">
        <w:rPr>
          <w:b/>
          <w:color w:val="000000"/>
          <w:lang w:val="en-US"/>
        </w:rPr>
        <w:tab/>
      </w:r>
      <w:r w:rsidR="00E46CA7">
        <w:rPr>
          <w:b/>
          <w:color w:val="000000"/>
          <w:lang w:val="en-US"/>
        </w:rPr>
        <w:tab/>
      </w:r>
      <w:r w:rsidR="007B4BBC" w:rsidRPr="007B4BBC">
        <w:rPr>
          <w:sz w:val="22"/>
        </w:rPr>
        <w:t>8.5.1</w:t>
      </w:r>
    </w:p>
    <w:p w14:paraId="41D55FE6" w14:textId="56E33765" w:rsidR="00C24D31" w:rsidRPr="000D5C67" w:rsidRDefault="00C24D31" w:rsidP="0043450E">
      <w:pPr>
        <w:rPr>
          <w:sz w:val="22"/>
        </w:rPr>
      </w:pPr>
      <w:r w:rsidRPr="0057669F">
        <w:rPr>
          <w:b/>
          <w:sz w:val="22"/>
        </w:rPr>
        <w:t>Document for:</w:t>
      </w:r>
      <w:r w:rsidR="00E46CA7">
        <w:rPr>
          <w:b/>
          <w:sz w:val="22"/>
        </w:rPr>
        <w:tab/>
      </w:r>
      <w:r w:rsidR="00E46CA7" w:rsidRPr="00E46CA7">
        <w:rPr>
          <w:sz w:val="22"/>
        </w:rPr>
        <w:tab/>
      </w:r>
      <w:r w:rsidR="00E46CA7" w:rsidRPr="00E46CA7">
        <w:rPr>
          <w:sz w:val="22"/>
        </w:rPr>
        <w:tab/>
      </w:r>
      <w:r w:rsidR="000D5C67">
        <w:rPr>
          <w:sz w:val="22"/>
        </w:rPr>
        <w:t>Approval</w:t>
      </w:r>
    </w:p>
    <w:p w14:paraId="31CCC137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81A2A01" w14:textId="525DF45A" w:rsidR="00CF249F" w:rsidRDefault="000D5C67" w:rsidP="000B5E8E">
      <w:r>
        <w:t xml:space="preserve">RAN#82 </w:t>
      </w:r>
      <w:r w:rsidR="004A66AA">
        <w:t>h</w:t>
      </w:r>
      <w:r>
        <w:t>as approved a new work item description for Integrated Access and Backhaul for NR</w:t>
      </w:r>
      <w:r w:rsidR="003A1BF2">
        <w:t xml:space="preserve"> [1]</w:t>
      </w:r>
      <w:r w:rsidR="004A66AA">
        <w:t xml:space="preserve"> which was further updated in RAN#83 [2]</w:t>
      </w:r>
      <w:r>
        <w:t>. Part of the work item objectives is to define specifications for RF and RRM requirements. In this contribution we discuss and provide our views on the RAN4 specification treatment.</w:t>
      </w:r>
    </w:p>
    <w:p w14:paraId="1ECA57B6" w14:textId="77777777" w:rsidR="001C3296" w:rsidRDefault="001C3296" w:rsidP="001C3296">
      <w:pPr>
        <w:pStyle w:val="Heading1"/>
      </w:pPr>
      <w:r>
        <w:t>2</w:t>
      </w:r>
      <w:r>
        <w:tab/>
        <w:t>Discussion</w:t>
      </w:r>
    </w:p>
    <w:p w14:paraId="629626AA" w14:textId="72ADD0B6" w:rsidR="00DA7DBD" w:rsidRDefault="00DA7DBD" w:rsidP="000D5C67">
      <w:r>
        <w:t>The objectives related to RAN4-led work from the IAB work item description in [2] are copied below.</w:t>
      </w:r>
    </w:p>
    <w:p w14:paraId="3596A17C" w14:textId="77777777" w:rsidR="00DA7DBD" w:rsidRPr="00DA7DBD" w:rsidRDefault="00DA7DBD" w:rsidP="00DA7DB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60" w:after="60" w:line="256" w:lineRule="auto"/>
        <w:ind w:left="720"/>
        <w:contextualSpacing w:val="0"/>
        <w:textAlignment w:val="auto"/>
      </w:pPr>
      <w:r>
        <w:t>Specification of RF and RRM requirements [RAN4-led]:</w:t>
      </w:r>
    </w:p>
    <w:p w14:paraId="6EBDE1FE" w14:textId="77777777" w:rsidR="00DA7DBD" w:rsidRDefault="00DA7DBD" w:rsidP="00DA7DB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before="60" w:after="60" w:line="256" w:lineRule="auto"/>
        <w:contextualSpacing w:val="0"/>
        <w:textAlignment w:val="auto"/>
      </w:pPr>
      <w:r>
        <w:t>Define RF requirements for both backhaul and access links of an IAB-node including requirements for co-existence (e.g. ACLR, ACS). This may include defining a new power class for MT.</w:t>
      </w:r>
    </w:p>
    <w:p w14:paraId="0593C636" w14:textId="77777777" w:rsidR="00DA7DBD" w:rsidRDefault="00DA7DBD" w:rsidP="00DA7DB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before="60" w:after="60" w:line="256" w:lineRule="auto"/>
        <w:contextualSpacing w:val="0"/>
        <w:textAlignment w:val="auto"/>
      </w:pPr>
      <w:r>
        <w:t>Define RRM core requirements for both backhaul and access links of IAB node.</w:t>
      </w:r>
    </w:p>
    <w:p w14:paraId="1127BFB1" w14:textId="77777777" w:rsidR="00DA7DBD" w:rsidRDefault="00DA7DBD" w:rsidP="00DA7DBD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before="60" w:after="60" w:line="256" w:lineRule="auto"/>
        <w:contextualSpacing w:val="0"/>
        <w:textAlignment w:val="auto"/>
      </w:pPr>
      <w:r>
        <w:t>Define latency requirements for switching between communication over parent backhaul link (i.e. MT) and child backhaul/access links (i.e. DU).</w:t>
      </w:r>
    </w:p>
    <w:p w14:paraId="16003F3C" w14:textId="0036AF33" w:rsidR="00DA7DBD" w:rsidRDefault="00DA7DBD" w:rsidP="000D5C67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before="60" w:after="60" w:line="256" w:lineRule="auto"/>
        <w:contextualSpacing w:val="0"/>
        <w:textAlignment w:val="auto"/>
      </w:pPr>
      <w:r>
        <w:t>Define timing requirements for IAB specific network synchronization.</w:t>
      </w:r>
      <w:r>
        <w:rPr>
          <w:color w:val="FF0000"/>
        </w:rPr>
        <w:t xml:space="preserve"> </w:t>
      </w:r>
      <w:r>
        <w:t>This may include (a) requirement for “case 1” timing (e.g. accuracy of DL transmission timing alignment between an IAB-node and its parent node), and (b) cell phase synchronization accuracy for multi-hop IAB network.</w:t>
      </w:r>
    </w:p>
    <w:p w14:paraId="4CEBEC5A" w14:textId="77777777" w:rsidR="005B49F8" w:rsidRDefault="005B49F8" w:rsidP="005B49F8">
      <w:pPr>
        <w:overflowPunct/>
        <w:autoSpaceDE/>
        <w:autoSpaceDN/>
        <w:adjustRightInd/>
        <w:spacing w:before="60" w:after="60" w:line="256" w:lineRule="auto"/>
        <w:textAlignment w:val="auto"/>
      </w:pPr>
    </w:p>
    <w:p w14:paraId="7CBEAFB1" w14:textId="602EA011" w:rsidR="004C7DF4" w:rsidRDefault="003D1DC5" w:rsidP="004C7DF4">
      <w:r>
        <w:fldChar w:fldCharType="begin"/>
      </w:r>
      <w:r>
        <w:instrText xml:space="preserve"> REF _Ref4678346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the IAB architecture supporting multi-hop relaying which has been adopted as the basis for the normative work of the IAB WI. </w:t>
      </w:r>
      <w:r w:rsidR="004C7DF4">
        <w:t xml:space="preserve">Network using IAB consists IAB-donor nodes, IAB-nodes and UEs served by the network nodes. The IAB network leverages the split gNB architecture where the CU is at the IAB-donor and the DU is at the IAB-node. The IAB DU hosts the lower radio protocol layers such as RLC, MAC and PHY. The IAB-donor is the node terminating the core network connections. An IAB-node connects to the parent-node(s) to establish BH connections where the parent node can be either IAB-donor or another IAB-node. The connection to the parent node is done by the Mobile Termination (MT) part of the IAB-node. </w:t>
      </w:r>
      <w:r w:rsidR="004C7DF4" w:rsidRPr="000D0627">
        <w:t xml:space="preserve">The MT function has been defined as a component of the Mobile Equipment. In the context of </w:t>
      </w:r>
      <w:r w:rsidR="004C7DF4">
        <w:t>IAB</w:t>
      </w:r>
      <w:r w:rsidR="004C7DF4" w:rsidRPr="000D0627">
        <w:t xml:space="preserve">, MT is referred to as a function residing on an IAB-node that terminates the radio interface layers of the backhaul </w:t>
      </w:r>
      <w:proofErr w:type="spellStart"/>
      <w:r w:rsidR="004C7DF4" w:rsidRPr="000D0627">
        <w:t>Uu</w:t>
      </w:r>
      <w:proofErr w:type="spellEnd"/>
      <w:r w:rsidR="004C7DF4" w:rsidRPr="000D0627">
        <w:t>.</w:t>
      </w:r>
      <w:r w:rsidR="004C7DF4">
        <w:t xml:space="preserve"> The DU part of the IAB-node, jointly with CU at the IAB-donor, can serve a cell for access UEs and other IAB-node(s) for potential next hop BH connections. Radio resource usage of the BH link is controlled and scheduled by the parent node.</w:t>
      </w:r>
    </w:p>
    <w:p w14:paraId="7DF302F1" w14:textId="6327C5BF" w:rsidR="001C55F5" w:rsidRDefault="001C55F5" w:rsidP="001C55F5">
      <w:pPr>
        <w:jc w:val="center"/>
      </w:pPr>
      <w:r>
        <w:rPr>
          <w:noProof/>
        </w:rPr>
        <w:drawing>
          <wp:inline distT="0" distB="0" distL="0" distR="0" wp14:anchorId="27CCE8A4" wp14:editId="141ACC99">
            <wp:extent cx="4715123" cy="1477298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7624" cy="148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A2B1F" w14:textId="57C8337E" w:rsidR="001C55F5" w:rsidRDefault="001C55F5" w:rsidP="007B4BBC">
      <w:pPr>
        <w:pStyle w:val="Caption"/>
        <w:jc w:val="center"/>
        <w:rPr>
          <w:b/>
          <w:i w:val="0"/>
          <w:color w:val="000000" w:themeColor="text1"/>
        </w:rPr>
      </w:pPr>
      <w:bookmarkStart w:id="3" w:name="_Ref4678346"/>
      <w:r w:rsidRPr="007B4BBC">
        <w:rPr>
          <w:b/>
          <w:i w:val="0"/>
          <w:color w:val="000000" w:themeColor="text1"/>
        </w:rPr>
        <w:t xml:space="preserve">Figure </w:t>
      </w:r>
      <w:r w:rsidRPr="007B4BBC">
        <w:rPr>
          <w:b/>
          <w:i w:val="0"/>
          <w:color w:val="000000" w:themeColor="text1"/>
        </w:rPr>
        <w:fldChar w:fldCharType="begin"/>
      </w:r>
      <w:r w:rsidRPr="007B4BBC">
        <w:rPr>
          <w:b/>
          <w:i w:val="0"/>
          <w:color w:val="000000" w:themeColor="text1"/>
        </w:rPr>
        <w:instrText xml:space="preserve"> SEQ Figure \* ARABIC </w:instrText>
      </w:r>
      <w:r w:rsidRPr="007B4BBC">
        <w:rPr>
          <w:b/>
          <w:i w:val="0"/>
          <w:color w:val="000000" w:themeColor="text1"/>
        </w:rPr>
        <w:fldChar w:fldCharType="separate"/>
      </w:r>
      <w:r w:rsidRPr="007B4BBC">
        <w:rPr>
          <w:b/>
          <w:i w:val="0"/>
          <w:noProof/>
          <w:color w:val="000000" w:themeColor="text1"/>
        </w:rPr>
        <w:t>1</w:t>
      </w:r>
      <w:r w:rsidRPr="007B4BBC">
        <w:rPr>
          <w:b/>
          <w:i w:val="0"/>
          <w:color w:val="000000" w:themeColor="text1"/>
        </w:rPr>
        <w:fldChar w:fldCharType="end"/>
      </w:r>
      <w:bookmarkEnd w:id="3"/>
      <w:r w:rsidR="007B4BBC" w:rsidRPr="007B4BBC">
        <w:rPr>
          <w:b/>
          <w:i w:val="0"/>
          <w:color w:val="000000" w:themeColor="text1"/>
        </w:rPr>
        <w:t>:</w:t>
      </w:r>
      <w:r w:rsidRPr="007B4BBC">
        <w:rPr>
          <w:b/>
          <w:i w:val="0"/>
          <w:color w:val="000000" w:themeColor="text1"/>
        </w:rPr>
        <w:t xml:space="preserve"> Basic IAB architecture utilizing split </w:t>
      </w:r>
      <w:proofErr w:type="spellStart"/>
      <w:r w:rsidRPr="007B4BBC">
        <w:rPr>
          <w:b/>
          <w:i w:val="0"/>
          <w:color w:val="000000" w:themeColor="text1"/>
        </w:rPr>
        <w:t>gNB</w:t>
      </w:r>
      <w:proofErr w:type="spellEnd"/>
      <w:r w:rsidRPr="007B4BBC">
        <w:rPr>
          <w:b/>
          <w:i w:val="0"/>
          <w:color w:val="000000" w:themeColor="text1"/>
        </w:rPr>
        <w:t xml:space="preserve"> architecture</w:t>
      </w:r>
    </w:p>
    <w:p w14:paraId="366C43E3" w14:textId="005FB7C7" w:rsidR="007B4BBC" w:rsidRDefault="007B4BBC" w:rsidP="007B4BBC">
      <w:r>
        <w:lastRenderedPageBreak/>
        <w:t>Physically, the network could look like in Figure 2.</w:t>
      </w:r>
    </w:p>
    <w:p w14:paraId="6625167F" w14:textId="0BA1C212" w:rsidR="007B4BBC" w:rsidRDefault="007B4BBC" w:rsidP="007B4BBC">
      <w:pPr>
        <w:jc w:val="center"/>
      </w:pPr>
      <w:r>
        <w:rPr>
          <w:noProof/>
        </w:rPr>
        <w:drawing>
          <wp:inline distT="0" distB="0" distL="0" distR="0" wp14:anchorId="045EEED2" wp14:editId="7FB631CF">
            <wp:extent cx="2838450" cy="19081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90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035AD" w14:textId="35782992" w:rsidR="007B4BBC" w:rsidRPr="007B4BBC" w:rsidRDefault="007B4BBC" w:rsidP="007B4BBC">
      <w:pPr>
        <w:jc w:val="center"/>
        <w:rPr>
          <w:b/>
        </w:rPr>
      </w:pPr>
      <w:r w:rsidRPr="007B4BBC">
        <w:rPr>
          <w:b/>
        </w:rPr>
        <w:t>Figure 2: Donor, two IAB-nodes and UEs in a network.</w:t>
      </w:r>
    </w:p>
    <w:p w14:paraId="1A291D9A" w14:textId="15AC0310" w:rsidR="000D5C67" w:rsidRPr="00A64564" w:rsidRDefault="004C4473" w:rsidP="000D5C67">
      <w:r>
        <w:t>IAB-</w:t>
      </w:r>
      <w:r w:rsidR="004C7DF4">
        <w:t>n</w:t>
      </w:r>
      <w:r>
        <w:t xml:space="preserve">odes share many properties with </w:t>
      </w:r>
      <w:r w:rsidR="00DA7DBD">
        <w:t>gNBs.</w:t>
      </w:r>
      <w:r>
        <w:t xml:space="preserve"> </w:t>
      </w:r>
      <w:r w:rsidR="00DA7DBD">
        <w:t>For example,</w:t>
      </w:r>
      <w:r>
        <w:t xml:space="preserve"> the access-functionality </w:t>
      </w:r>
      <w:r w:rsidR="004C7DF4">
        <w:t xml:space="preserve">of the IAB-DU </w:t>
      </w:r>
      <w:r w:rsidR="00DA7DBD">
        <w:t xml:space="preserve">towards UEs </w:t>
      </w:r>
      <w:r w:rsidR="004C7DF4">
        <w:t xml:space="preserve">(or child IAB-nodes) </w:t>
      </w:r>
      <w:r>
        <w:t xml:space="preserve">is </w:t>
      </w:r>
      <w:r w:rsidR="004D350C">
        <w:t xml:space="preserve">practically </w:t>
      </w:r>
      <w:r>
        <w:t xml:space="preserve">identical with </w:t>
      </w:r>
      <w:r w:rsidR="00DA7DBD">
        <w:t>gNBs</w:t>
      </w:r>
      <w:r w:rsidR="004D350C">
        <w:t>.</w:t>
      </w:r>
      <w:r>
        <w:t xml:space="preserve"> </w:t>
      </w:r>
      <w:r w:rsidR="004D350C">
        <w:t xml:space="preserve">IAB-nodes need to do scheduling decisions towards UEs and child-nodes. </w:t>
      </w:r>
      <w:r w:rsidR="001F0F7E">
        <w:t xml:space="preserve">Operators can choose which IAB-nodes they deploy in their </w:t>
      </w:r>
      <w:r w:rsidR="004A66AA">
        <w:t>network and</w:t>
      </w:r>
      <w:r w:rsidR="001F0F7E">
        <w:t xml:space="preserve"> are in control of the physical network planning. </w:t>
      </w:r>
      <w:r w:rsidR="004D350C">
        <w:t>I</w:t>
      </w:r>
      <w:r>
        <w:t xml:space="preserve">n our view IAB-node is clearly a network element and </w:t>
      </w:r>
      <w:r w:rsidR="00692D32">
        <w:t xml:space="preserve">therefore </w:t>
      </w:r>
      <w:r w:rsidR="004A66AA">
        <w:t xml:space="preserve">the arrangement of </w:t>
      </w:r>
      <w:r w:rsidR="00692D32">
        <w:t xml:space="preserve">specification responsibilities should be </w:t>
      </w:r>
      <w:proofErr w:type="gramStart"/>
      <w:r w:rsidR="00692D32">
        <w:t xml:space="preserve">similar </w:t>
      </w:r>
      <w:r w:rsidR="004A66AA">
        <w:t>to</w:t>
      </w:r>
      <w:proofErr w:type="gramEnd"/>
      <w:r w:rsidR="00692D32">
        <w:t xml:space="preserve"> </w:t>
      </w:r>
      <w:r w:rsidR="00DA7DBD">
        <w:t>gNBs</w:t>
      </w:r>
      <w:r w:rsidR="00692D32">
        <w:t>.</w:t>
      </w:r>
    </w:p>
    <w:p w14:paraId="0CF83278" w14:textId="63F38259" w:rsidR="0089736D" w:rsidRDefault="004C4473" w:rsidP="0089736D">
      <w:pPr>
        <w:jc w:val="both"/>
        <w:rPr>
          <w:b/>
        </w:rPr>
      </w:pPr>
      <w:r w:rsidRPr="004C4473">
        <w:rPr>
          <w:b/>
        </w:rPr>
        <w:t xml:space="preserve">Proposal 1: </w:t>
      </w:r>
      <w:r>
        <w:rPr>
          <w:b/>
        </w:rPr>
        <w:t>Treat IAB-node as</w:t>
      </w:r>
      <w:r w:rsidR="00692D32">
        <w:rPr>
          <w:b/>
        </w:rPr>
        <w:t xml:space="preserve"> a</w:t>
      </w:r>
      <w:r>
        <w:rPr>
          <w:b/>
        </w:rPr>
        <w:t xml:space="preserve"> network element </w:t>
      </w:r>
      <w:r w:rsidR="00692D32">
        <w:rPr>
          <w:b/>
        </w:rPr>
        <w:t xml:space="preserve">in </w:t>
      </w:r>
      <w:r w:rsidR="00DA7DBD">
        <w:rPr>
          <w:b/>
        </w:rPr>
        <w:t xml:space="preserve">RF </w:t>
      </w:r>
      <w:r w:rsidR="00692D32">
        <w:rPr>
          <w:b/>
        </w:rPr>
        <w:t>performance requirement specification work</w:t>
      </w:r>
    </w:p>
    <w:p w14:paraId="0CA1DD99" w14:textId="02FE30E4" w:rsidR="00692D32" w:rsidRDefault="00DA7DBD" w:rsidP="0089736D">
      <w:pPr>
        <w:jc w:val="both"/>
      </w:pPr>
      <w:r>
        <w:t xml:space="preserve">RAN4 </w:t>
      </w:r>
      <w:r w:rsidR="00692D32">
        <w:t xml:space="preserve">should </w:t>
      </w:r>
      <w:r>
        <w:t xml:space="preserve">discuss and decide how IAB-node requirements should be captured in the specifications. In practice we see two options: </w:t>
      </w:r>
      <w:r w:rsidR="00692D32">
        <w:t xml:space="preserve"> </w:t>
      </w:r>
      <w:r>
        <w:t>Either</w:t>
      </w:r>
      <w:r w:rsidR="00692D32">
        <w:t xml:space="preserve"> a completely new specification is </w:t>
      </w:r>
      <w:r>
        <w:t>created</w:t>
      </w:r>
      <w:r w:rsidR="009F4B28">
        <w:t>,</w:t>
      </w:r>
      <w:r w:rsidR="00692D32">
        <w:t xml:space="preserve"> or IAB-nodes could be part of TS 38.104, 38.141-1 and 38.141-2. While both approaches are possible, </w:t>
      </w:r>
      <w:r>
        <w:t>our preference is to</w:t>
      </w:r>
      <w:r w:rsidR="00692D32">
        <w:t xml:space="preserve"> create new specifications for IAB-nodes, as there is a risk to degrade the readability and clarity of </w:t>
      </w:r>
      <w:r w:rsidR="003A1BF2">
        <w:t>NR base station</w:t>
      </w:r>
      <w:r>
        <w:t xml:space="preserve"> RF</w:t>
      </w:r>
      <w:r w:rsidR="003A1BF2">
        <w:t xml:space="preserve"> specifications.</w:t>
      </w:r>
    </w:p>
    <w:p w14:paraId="67AC70EF" w14:textId="04A01FAB" w:rsidR="004C4473" w:rsidRDefault="003A1BF2" w:rsidP="0089736D">
      <w:pPr>
        <w:jc w:val="both"/>
        <w:rPr>
          <w:b/>
        </w:rPr>
      </w:pPr>
      <w:r w:rsidRPr="003A1BF2">
        <w:rPr>
          <w:b/>
        </w:rPr>
        <w:t xml:space="preserve">Proposal 2: </w:t>
      </w:r>
      <w:r>
        <w:rPr>
          <w:b/>
        </w:rPr>
        <w:t>RAN4 to</w:t>
      </w:r>
      <w:r w:rsidR="007B4BBC">
        <w:rPr>
          <w:b/>
        </w:rPr>
        <w:t xml:space="preserve"> agree </w:t>
      </w:r>
      <w:r>
        <w:rPr>
          <w:b/>
        </w:rPr>
        <w:t>to create new specifications for IAB-node core and conformance requirements.</w:t>
      </w:r>
    </w:p>
    <w:p w14:paraId="52782008" w14:textId="77777777" w:rsidR="00F32200" w:rsidRDefault="00F32200" w:rsidP="00F32200">
      <w:pPr>
        <w:pStyle w:val="Heading1"/>
      </w:pPr>
      <w:r>
        <w:t>3</w:t>
      </w:r>
      <w:r>
        <w:tab/>
        <w:t>Conclusion</w:t>
      </w:r>
    </w:p>
    <w:p w14:paraId="1C4CFB0E" w14:textId="6AB5EAA1" w:rsidR="000E41E5" w:rsidRDefault="00E46CA7" w:rsidP="004D4354">
      <w:r>
        <w:t xml:space="preserve">In this </w:t>
      </w:r>
      <w:r w:rsidR="00870635">
        <w:t>contribution</w:t>
      </w:r>
      <w:r w:rsidR="0089736D">
        <w:t xml:space="preserve"> </w:t>
      </w:r>
      <w:r w:rsidR="003A1BF2">
        <w:t>IAB-node treatment in performance requirement specifications was discussed and two proposals were made:</w:t>
      </w:r>
    </w:p>
    <w:p w14:paraId="145C11A4" w14:textId="33F8094F" w:rsidR="003A1BF2" w:rsidRDefault="003A1BF2" w:rsidP="003A1BF2">
      <w:pPr>
        <w:jc w:val="both"/>
        <w:rPr>
          <w:b/>
        </w:rPr>
      </w:pPr>
      <w:r w:rsidRPr="004C4473">
        <w:rPr>
          <w:b/>
        </w:rPr>
        <w:t xml:space="preserve">Proposal 1: </w:t>
      </w:r>
      <w:r>
        <w:rPr>
          <w:b/>
        </w:rPr>
        <w:t>Treat IAB-node as a network element in performance requirement specification work</w:t>
      </w:r>
      <w:r w:rsidR="001F0F7E">
        <w:rPr>
          <w:b/>
        </w:rPr>
        <w:t>.</w:t>
      </w:r>
    </w:p>
    <w:p w14:paraId="5FF719EC" w14:textId="1B1D8D73" w:rsidR="003A1BF2" w:rsidRPr="003A1BF2" w:rsidRDefault="003A1BF2" w:rsidP="003A1BF2">
      <w:pPr>
        <w:jc w:val="both"/>
        <w:rPr>
          <w:b/>
        </w:rPr>
      </w:pPr>
      <w:r w:rsidRPr="003A1BF2">
        <w:rPr>
          <w:b/>
        </w:rPr>
        <w:t xml:space="preserve">Proposal 2: </w:t>
      </w:r>
      <w:r>
        <w:rPr>
          <w:b/>
        </w:rPr>
        <w:t xml:space="preserve">RAN4 to </w:t>
      </w:r>
      <w:r w:rsidR="007B4BBC">
        <w:rPr>
          <w:b/>
        </w:rPr>
        <w:t xml:space="preserve">agree </w:t>
      </w:r>
      <w:r>
        <w:rPr>
          <w:b/>
        </w:rPr>
        <w:t>to create new specifications for IAB-node core and conformance requirements.</w:t>
      </w:r>
    </w:p>
    <w:p w14:paraId="55B204E9" w14:textId="77777777" w:rsidR="0057669F" w:rsidRDefault="0057669F" w:rsidP="0057669F">
      <w:pPr>
        <w:pStyle w:val="Heading1"/>
      </w:pPr>
      <w:r>
        <w:t>4</w:t>
      </w:r>
      <w:r>
        <w:tab/>
        <w:t>Reference</w:t>
      </w:r>
      <w:r w:rsidR="0035582C">
        <w:t>s</w:t>
      </w:r>
    </w:p>
    <w:p w14:paraId="43EA2530" w14:textId="49CAD203" w:rsidR="0089736D" w:rsidRDefault="0035582C" w:rsidP="000D5C67">
      <w:pPr>
        <w:ind w:left="567" w:hanging="567"/>
        <w:rPr>
          <w:lang w:val="en-US"/>
        </w:rPr>
      </w:pPr>
      <w:r>
        <w:rPr>
          <w:lang w:val="en-US" w:eastAsia="ja-JP"/>
        </w:rPr>
        <w:t>[1]</w:t>
      </w:r>
      <w:r>
        <w:rPr>
          <w:lang w:val="en-US" w:eastAsia="ja-JP"/>
        </w:rPr>
        <w:tab/>
      </w:r>
      <w:r w:rsidR="000D5C67">
        <w:rPr>
          <w:lang w:val="en-US" w:eastAsia="ja-JP"/>
        </w:rPr>
        <w:t xml:space="preserve">RP-192882 </w:t>
      </w:r>
      <w:r w:rsidR="000D5C67" w:rsidRPr="000D5C67">
        <w:rPr>
          <w:lang w:val="en-US" w:eastAsia="ja-JP"/>
        </w:rPr>
        <w:t>New WID: Integrated Access and Backhaul for NR, Qualcomm</w:t>
      </w:r>
    </w:p>
    <w:p w14:paraId="1C48C625" w14:textId="63C6692E" w:rsidR="0089736D" w:rsidRPr="004A66AA" w:rsidRDefault="004A66AA" w:rsidP="001B180D">
      <w:pPr>
        <w:ind w:left="567" w:hanging="567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 xml:space="preserve">RP-190712 </w:t>
      </w:r>
      <w:r w:rsidRPr="004A66AA">
        <w:rPr>
          <w:lang w:val="en-US"/>
        </w:rPr>
        <w:t>Revised WID: Integrated Access and Backhaul for NR</w:t>
      </w:r>
      <w:r>
        <w:rPr>
          <w:lang w:val="en-US"/>
        </w:rPr>
        <w:t>, Qualcomm</w:t>
      </w:r>
    </w:p>
    <w:sectPr w:rsidR="0089736D" w:rsidRPr="004A66AA" w:rsidSect="00F322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709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E961E" w14:textId="77777777" w:rsidR="00753CD3" w:rsidRDefault="00753CD3" w:rsidP="002B3503">
      <w:pPr>
        <w:spacing w:after="0"/>
      </w:pPr>
      <w:r>
        <w:separator/>
      </w:r>
    </w:p>
  </w:endnote>
  <w:endnote w:type="continuationSeparator" w:id="0">
    <w:p w14:paraId="3C9A26EA" w14:textId="77777777" w:rsidR="00753CD3" w:rsidRDefault="00753CD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41A9F" w14:textId="77777777" w:rsidR="006A21E1" w:rsidRDefault="006A21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C594D" w14:textId="77777777" w:rsidR="006A21E1" w:rsidRDefault="006A21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897A5" w14:textId="77777777" w:rsidR="006A21E1" w:rsidRDefault="006A21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A0B2B" w14:textId="77777777" w:rsidR="00753CD3" w:rsidRDefault="00753CD3" w:rsidP="002B3503">
      <w:pPr>
        <w:spacing w:after="0"/>
      </w:pPr>
      <w:r>
        <w:separator/>
      </w:r>
    </w:p>
  </w:footnote>
  <w:footnote w:type="continuationSeparator" w:id="0">
    <w:p w14:paraId="6EC12765" w14:textId="77777777" w:rsidR="00753CD3" w:rsidRDefault="00753CD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C110D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87148" w14:textId="77777777" w:rsidR="006A21E1" w:rsidRDefault="006A2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DBF74" w14:textId="77777777" w:rsidR="006A21E1" w:rsidRDefault="006A2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2D28"/>
    <w:multiLevelType w:val="hybridMultilevel"/>
    <w:tmpl w:val="323815B4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11376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E457A"/>
    <w:multiLevelType w:val="hybridMultilevel"/>
    <w:tmpl w:val="3440D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F37F8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721446"/>
    <w:multiLevelType w:val="hybridMultilevel"/>
    <w:tmpl w:val="CF8CC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0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0C2D"/>
    <w:rsid w:val="00013683"/>
    <w:rsid w:val="000138E1"/>
    <w:rsid w:val="000146D1"/>
    <w:rsid w:val="00017F18"/>
    <w:rsid w:val="00046F81"/>
    <w:rsid w:val="000832DA"/>
    <w:rsid w:val="00091F0B"/>
    <w:rsid w:val="000943A9"/>
    <w:rsid w:val="000A6473"/>
    <w:rsid w:val="000B4E56"/>
    <w:rsid w:val="000B5E8E"/>
    <w:rsid w:val="000C07E1"/>
    <w:rsid w:val="000D5C67"/>
    <w:rsid w:val="000D6C3A"/>
    <w:rsid w:val="000E41E5"/>
    <w:rsid w:val="000F2546"/>
    <w:rsid w:val="00101626"/>
    <w:rsid w:val="001364A1"/>
    <w:rsid w:val="0015000E"/>
    <w:rsid w:val="0016131F"/>
    <w:rsid w:val="00164A53"/>
    <w:rsid w:val="001B180D"/>
    <w:rsid w:val="001B494A"/>
    <w:rsid w:val="001B7032"/>
    <w:rsid w:val="001C3296"/>
    <w:rsid w:val="001C55F5"/>
    <w:rsid w:val="001D4627"/>
    <w:rsid w:val="001F0F7E"/>
    <w:rsid w:val="00210C9E"/>
    <w:rsid w:val="002127E2"/>
    <w:rsid w:val="00214C87"/>
    <w:rsid w:val="00215035"/>
    <w:rsid w:val="002640C9"/>
    <w:rsid w:val="00277EE7"/>
    <w:rsid w:val="00285189"/>
    <w:rsid w:val="00285EBA"/>
    <w:rsid w:val="00291DDD"/>
    <w:rsid w:val="002A7181"/>
    <w:rsid w:val="002B3503"/>
    <w:rsid w:val="002B3F6F"/>
    <w:rsid w:val="002C1641"/>
    <w:rsid w:val="002C1C70"/>
    <w:rsid w:val="002F0018"/>
    <w:rsid w:val="002F6A38"/>
    <w:rsid w:val="0030758B"/>
    <w:rsid w:val="00347DEA"/>
    <w:rsid w:val="0035582C"/>
    <w:rsid w:val="00363074"/>
    <w:rsid w:val="003777FE"/>
    <w:rsid w:val="003A1BF2"/>
    <w:rsid w:val="003C3016"/>
    <w:rsid w:val="003D1DC5"/>
    <w:rsid w:val="003F0CBC"/>
    <w:rsid w:val="00404C40"/>
    <w:rsid w:val="0042109F"/>
    <w:rsid w:val="0043450E"/>
    <w:rsid w:val="00453BA5"/>
    <w:rsid w:val="00454E53"/>
    <w:rsid w:val="004754A1"/>
    <w:rsid w:val="00482477"/>
    <w:rsid w:val="00484762"/>
    <w:rsid w:val="00491386"/>
    <w:rsid w:val="00494F18"/>
    <w:rsid w:val="004A41DA"/>
    <w:rsid w:val="004A47DD"/>
    <w:rsid w:val="004A66AA"/>
    <w:rsid w:val="004C0103"/>
    <w:rsid w:val="004C4473"/>
    <w:rsid w:val="004C58F9"/>
    <w:rsid w:val="004C7C25"/>
    <w:rsid w:val="004C7DF4"/>
    <w:rsid w:val="004D0C67"/>
    <w:rsid w:val="004D350C"/>
    <w:rsid w:val="004D3D81"/>
    <w:rsid w:val="004D4354"/>
    <w:rsid w:val="00512C65"/>
    <w:rsid w:val="005304C6"/>
    <w:rsid w:val="00542EA4"/>
    <w:rsid w:val="00544A0E"/>
    <w:rsid w:val="005472C5"/>
    <w:rsid w:val="00551BD8"/>
    <w:rsid w:val="00560A63"/>
    <w:rsid w:val="00564B2E"/>
    <w:rsid w:val="00570B14"/>
    <w:rsid w:val="0057669F"/>
    <w:rsid w:val="005A3D67"/>
    <w:rsid w:val="005B2640"/>
    <w:rsid w:val="005B49F8"/>
    <w:rsid w:val="005D7B06"/>
    <w:rsid w:val="005E49A2"/>
    <w:rsid w:val="005E5C96"/>
    <w:rsid w:val="005F6CE3"/>
    <w:rsid w:val="00602EB6"/>
    <w:rsid w:val="006168C2"/>
    <w:rsid w:val="00641C2E"/>
    <w:rsid w:val="00666120"/>
    <w:rsid w:val="00673969"/>
    <w:rsid w:val="00692D32"/>
    <w:rsid w:val="006A21E1"/>
    <w:rsid w:val="006B720B"/>
    <w:rsid w:val="006C6840"/>
    <w:rsid w:val="006C7482"/>
    <w:rsid w:val="006E3462"/>
    <w:rsid w:val="006F1B82"/>
    <w:rsid w:val="006F651D"/>
    <w:rsid w:val="00710301"/>
    <w:rsid w:val="007120DD"/>
    <w:rsid w:val="00721417"/>
    <w:rsid w:val="00726265"/>
    <w:rsid w:val="00734EBD"/>
    <w:rsid w:val="00753CD3"/>
    <w:rsid w:val="00763E62"/>
    <w:rsid w:val="00782875"/>
    <w:rsid w:val="007A12F4"/>
    <w:rsid w:val="007A23DA"/>
    <w:rsid w:val="007B4BBC"/>
    <w:rsid w:val="007D20DF"/>
    <w:rsid w:val="007E79BE"/>
    <w:rsid w:val="008236E4"/>
    <w:rsid w:val="0084176E"/>
    <w:rsid w:val="00850296"/>
    <w:rsid w:val="00870635"/>
    <w:rsid w:val="00874DB0"/>
    <w:rsid w:val="008771F4"/>
    <w:rsid w:val="008922F9"/>
    <w:rsid w:val="0089736D"/>
    <w:rsid w:val="008A4493"/>
    <w:rsid w:val="008C2E11"/>
    <w:rsid w:val="008D39F0"/>
    <w:rsid w:val="008F311C"/>
    <w:rsid w:val="008F463D"/>
    <w:rsid w:val="009050E8"/>
    <w:rsid w:val="00906259"/>
    <w:rsid w:val="0091383D"/>
    <w:rsid w:val="00932D74"/>
    <w:rsid w:val="009351C4"/>
    <w:rsid w:val="00940559"/>
    <w:rsid w:val="009674D4"/>
    <w:rsid w:val="00982464"/>
    <w:rsid w:val="00996062"/>
    <w:rsid w:val="009A6A8B"/>
    <w:rsid w:val="009A70AA"/>
    <w:rsid w:val="009A74C9"/>
    <w:rsid w:val="009B1E68"/>
    <w:rsid w:val="009F4B28"/>
    <w:rsid w:val="00A067D5"/>
    <w:rsid w:val="00A072B2"/>
    <w:rsid w:val="00A15FBF"/>
    <w:rsid w:val="00A202D9"/>
    <w:rsid w:val="00A451E8"/>
    <w:rsid w:val="00A466BF"/>
    <w:rsid w:val="00A6018C"/>
    <w:rsid w:val="00A64564"/>
    <w:rsid w:val="00A708BD"/>
    <w:rsid w:val="00A8390A"/>
    <w:rsid w:val="00AD71AD"/>
    <w:rsid w:val="00AE6327"/>
    <w:rsid w:val="00AF14A0"/>
    <w:rsid w:val="00B4385F"/>
    <w:rsid w:val="00B65B59"/>
    <w:rsid w:val="00BC764C"/>
    <w:rsid w:val="00BE140C"/>
    <w:rsid w:val="00BF4B17"/>
    <w:rsid w:val="00C21554"/>
    <w:rsid w:val="00C24C90"/>
    <w:rsid w:val="00C24D31"/>
    <w:rsid w:val="00C33434"/>
    <w:rsid w:val="00C92EE2"/>
    <w:rsid w:val="00C944DE"/>
    <w:rsid w:val="00CA5455"/>
    <w:rsid w:val="00CF249F"/>
    <w:rsid w:val="00D26459"/>
    <w:rsid w:val="00D275CC"/>
    <w:rsid w:val="00D355D3"/>
    <w:rsid w:val="00D54EAA"/>
    <w:rsid w:val="00D767C4"/>
    <w:rsid w:val="00D77CF5"/>
    <w:rsid w:val="00D848CC"/>
    <w:rsid w:val="00D86BF8"/>
    <w:rsid w:val="00D944B1"/>
    <w:rsid w:val="00D95179"/>
    <w:rsid w:val="00DA7DBD"/>
    <w:rsid w:val="00DB78B8"/>
    <w:rsid w:val="00DC7584"/>
    <w:rsid w:val="00DF018A"/>
    <w:rsid w:val="00DF0C0A"/>
    <w:rsid w:val="00E13DFA"/>
    <w:rsid w:val="00E3148E"/>
    <w:rsid w:val="00E33B68"/>
    <w:rsid w:val="00E46CA7"/>
    <w:rsid w:val="00E90BCB"/>
    <w:rsid w:val="00E962C5"/>
    <w:rsid w:val="00EA3488"/>
    <w:rsid w:val="00EB5F7D"/>
    <w:rsid w:val="00EC589F"/>
    <w:rsid w:val="00EF103D"/>
    <w:rsid w:val="00EF6304"/>
    <w:rsid w:val="00F03666"/>
    <w:rsid w:val="00F32200"/>
    <w:rsid w:val="00F40AF9"/>
    <w:rsid w:val="00F51367"/>
    <w:rsid w:val="00F67501"/>
    <w:rsid w:val="00F95D75"/>
    <w:rsid w:val="00F97D64"/>
    <w:rsid w:val="00FA2A7B"/>
    <w:rsid w:val="00FA66CB"/>
    <w:rsid w:val="00FC75E4"/>
    <w:rsid w:val="00FC7CFA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18E3408D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01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F01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F01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01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01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01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018A"/>
    <w:pPr>
      <w:outlineLvl w:val="5"/>
    </w:pPr>
  </w:style>
  <w:style w:type="paragraph" w:styleId="Heading7">
    <w:name w:val="heading 7"/>
    <w:basedOn w:val="H6"/>
    <w:next w:val="Normal"/>
    <w:qFormat/>
    <w:rsid w:val="00DF018A"/>
    <w:pPr>
      <w:outlineLvl w:val="6"/>
    </w:pPr>
  </w:style>
  <w:style w:type="paragraph" w:styleId="Heading8">
    <w:name w:val="heading 8"/>
    <w:basedOn w:val="Heading1"/>
    <w:next w:val="Normal"/>
    <w:qFormat/>
    <w:rsid w:val="00DF01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01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F018A"/>
    <w:pPr>
      <w:spacing w:before="180"/>
      <w:ind w:left="2693" w:hanging="2693"/>
    </w:pPr>
    <w:rPr>
      <w:b/>
    </w:rPr>
  </w:style>
  <w:style w:type="paragraph" w:styleId="TOC1">
    <w:name w:val="toc 1"/>
    <w:semiHidden/>
    <w:rsid w:val="00DF01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F01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F018A"/>
    <w:pPr>
      <w:ind w:left="1701" w:hanging="1701"/>
    </w:pPr>
  </w:style>
  <w:style w:type="paragraph" w:styleId="TOC4">
    <w:name w:val="toc 4"/>
    <w:basedOn w:val="TOC3"/>
    <w:semiHidden/>
    <w:rsid w:val="00DF018A"/>
    <w:pPr>
      <w:ind w:left="1418" w:hanging="1418"/>
    </w:pPr>
  </w:style>
  <w:style w:type="paragraph" w:styleId="TOC3">
    <w:name w:val="toc 3"/>
    <w:basedOn w:val="TOC2"/>
    <w:semiHidden/>
    <w:rsid w:val="00DF018A"/>
    <w:pPr>
      <w:ind w:left="1134" w:hanging="1134"/>
    </w:pPr>
  </w:style>
  <w:style w:type="paragraph" w:styleId="TOC2">
    <w:name w:val="toc 2"/>
    <w:basedOn w:val="TOC1"/>
    <w:semiHidden/>
    <w:rsid w:val="00DF01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018A"/>
    <w:pPr>
      <w:ind w:left="284"/>
    </w:pPr>
  </w:style>
  <w:style w:type="paragraph" w:styleId="Index1">
    <w:name w:val="index 1"/>
    <w:basedOn w:val="Normal"/>
    <w:semiHidden/>
    <w:rsid w:val="00DF018A"/>
    <w:pPr>
      <w:keepLines/>
      <w:spacing w:after="0"/>
    </w:pPr>
  </w:style>
  <w:style w:type="paragraph" w:customStyle="1" w:styleId="ZH">
    <w:name w:val="ZH"/>
    <w:rsid w:val="00DF01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F018A"/>
    <w:pPr>
      <w:outlineLvl w:val="9"/>
    </w:pPr>
  </w:style>
  <w:style w:type="paragraph" w:styleId="ListNumber2">
    <w:name w:val="List Number 2"/>
    <w:basedOn w:val="ListNumber"/>
    <w:semiHidden/>
    <w:rsid w:val="00DF01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F01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F018A"/>
    <w:rPr>
      <w:b/>
      <w:position w:val="6"/>
      <w:sz w:val="16"/>
    </w:rPr>
  </w:style>
  <w:style w:type="paragraph" w:styleId="FootnoteText">
    <w:name w:val="footnote text"/>
    <w:basedOn w:val="Normal"/>
    <w:semiHidden/>
    <w:rsid w:val="00DF018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F018A"/>
    <w:rPr>
      <w:b/>
    </w:rPr>
  </w:style>
  <w:style w:type="paragraph" w:customStyle="1" w:styleId="TAC">
    <w:name w:val="TAC"/>
    <w:basedOn w:val="TAL"/>
    <w:link w:val="TACChar"/>
    <w:qFormat/>
    <w:rsid w:val="00DF018A"/>
    <w:pPr>
      <w:jc w:val="center"/>
    </w:pPr>
  </w:style>
  <w:style w:type="paragraph" w:customStyle="1" w:styleId="TF">
    <w:name w:val="TF"/>
    <w:basedOn w:val="TH"/>
    <w:rsid w:val="00DF018A"/>
    <w:pPr>
      <w:keepNext w:val="0"/>
      <w:spacing w:before="0" w:after="240"/>
    </w:pPr>
  </w:style>
  <w:style w:type="paragraph" w:customStyle="1" w:styleId="NO">
    <w:name w:val="NO"/>
    <w:basedOn w:val="Normal"/>
    <w:rsid w:val="00DF018A"/>
    <w:pPr>
      <w:keepLines/>
      <w:ind w:left="1135" w:hanging="851"/>
    </w:pPr>
  </w:style>
  <w:style w:type="paragraph" w:styleId="TOC9">
    <w:name w:val="toc 9"/>
    <w:basedOn w:val="TOC8"/>
    <w:semiHidden/>
    <w:rsid w:val="00DF018A"/>
    <w:pPr>
      <w:ind w:left="1418" w:hanging="1418"/>
    </w:pPr>
  </w:style>
  <w:style w:type="paragraph" w:customStyle="1" w:styleId="EX">
    <w:name w:val="EX"/>
    <w:basedOn w:val="Normal"/>
    <w:rsid w:val="00DF018A"/>
    <w:pPr>
      <w:keepLines/>
      <w:ind w:left="1702" w:hanging="1418"/>
    </w:pPr>
  </w:style>
  <w:style w:type="paragraph" w:customStyle="1" w:styleId="FP">
    <w:name w:val="FP"/>
    <w:basedOn w:val="Normal"/>
    <w:rsid w:val="00DF018A"/>
    <w:pPr>
      <w:spacing w:after="0"/>
    </w:pPr>
  </w:style>
  <w:style w:type="paragraph" w:customStyle="1" w:styleId="LD">
    <w:name w:val="LD"/>
    <w:rsid w:val="00DF01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F018A"/>
    <w:pPr>
      <w:spacing w:after="0"/>
    </w:pPr>
  </w:style>
  <w:style w:type="paragraph" w:customStyle="1" w:styleId="EW">
    <w:name w:val="EW"/>
    <w:basedOn w:val="EX"/>
    <w:rsid w:val="00DF018A"/>
    <w:pPr>
      <w:spacing w:after="0"/>
    </w:pPr>
  </w:style>
  <w:style w:type="paragraph" w:styleId="TOC6">
    <w:name w:val="toc 6"/>
    <w:basedOn w:val="TOC5"/>
    <w:next w:val="Normal"/>
    <w:semiHidden/>
    <w:rsid w:val="00DF018A"/>
    <w:pPr>
      <w:ind w:left="1985" w:hanging="1985"/>
    </w:pPr>
  </w:style>
  <w:style w:type="paragraph" w:styleId="TOC7">
    <w:name w:val="toc 7"/>
    <w:basedOn w:val="TOC6"/>
    <w:next w:val="Normal"/>
    <w:semiHidden/>
    <w:rsid w:val="00DF018A"/>
    <w:pPr>
      <w:ind w:left="2268" w:hanging="2268"/>
    </w:pPr>
  </w:style>
  <w:style w:type="paragraph" w:styleId="ListBullet2">
    <w:name w:val="List Bullet 2"/>
    <w:basedOn w:val="ListBullet"/>
    <w:semiHidden/>
    <w:rsid w:val="00DF018A"/>
    <w:pPr>
      <w:ind w:left="851"/>
    </w:pPr>
  </w:style>
  <w:style w:type="paragraph" w:styleId="ListBullet3">
    <w:name w:val="List Bullet 3"/>
    <w:basedOn w:val="ListBullet2"/>
    <w:semiHidden/>
    <w:rsid w:val="00DF018A"/>
    <w:pPr>
      <w:ind w:left="1135"/>
    </w:pPr>
  </w:style>
  <w:style w:type="paragraph" w:styleId="ListNumber">
    <w:name w:val="List Number"/>
    <w:basedOn w:val="List"/>
    <w:semiHidden/>
    <w:rsid w:val="00DF018A"/>
  </w:style>
  <w:style w:type="paragraph" w:customStyle="1" w:styleId="EQ">
    <w:name w:val="EQ"/>
    <w:basedOn w:val="Normal"/>
    <w:next w:val="Normal"/>
    <w:rsid w:val="00DF01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F01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01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01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F018A"/>
    <w:pPr>
      <w:jc w:val="right"/>
    </w:pPr>
  </w:style>
  <w:style w:type="paragraph" w:customStyle="1" w:styleId="H6">
    <w:name w:val="H6"/>
    <w:basedOn w:val="Heading5"/>
    <w:next w:val="Normal"/>
    <w:rsid w:val="00DF01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F018A"/>
    <w:pPr>
      <w:ind w:left="851" w:hanging="851"/>
    </w:pPr>
  </w:style>
  <w:style w:type="paragraph" w:customStyle="1" w:styleId="TAL">
    <w:name w:val="TAL"/>
    <w:basedOn w:val="Normal"/>
    <w:link w:val="TALChar"/>
    <w:qFormat/>
    <w:rsid w:val="00DF01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01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F01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F01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F01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F018A"/>
    <w:pPr>
      <w:framePr w:wrap="notBeside" w:y="16161"/>
    </w:pPr>
  </w:style>
  <w:style w:type="character" w:customStyle="1" w:styleId="ZGSM">
    <w:name w:val="ZGSM"/>
    <w:rsid w:val="00DF018A"/>
  </w:style>
  <w:style w:type="paragraph" w:styleId="List2">
    <w:name w:val="List 2"/>
    <w:basedOn w:val="List"/>
    <w:semiHidden/>
    <w:rsid w:val="00DF018A"/>
    <w:pPr>
      <w:ind w:left="851"/>
    </w:pPr>
  </w:style>
  <w:style w:type="paragraph" w:customStyle="1" w:styleId="ZG">
    <w:name w:val="ZG"/>
    <w:rsid w:val="00DF01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F018A"/>
    <w:pPr>
      <w:ind w:left="1135"/>
    </w:pPr>
  </w:style>
  <w:style w:type="paragraph" w:styleId="List4">
    <w:name w:val="List 4"/>
    <w:basedOn w:val="List3"/>
    <w:semiHidden/>
    <w:rsid w:val="00DF018A"/>
    <w:pPr>
      <w:ind w:left="1418"/>
    </w:pPr>
  </w:style>
  <w:style w:type="paragraph" w:styleId="List5">
    <w:name w:val="List 5"/>
    <w:basedOn w:val="List4"/>
    <w:semiHidden/>
    <w:rsid w:val="00DF018A"/>
    <w:pPr>
      <w:ind w:left="1702"/>
    </w:pPr>
  </w:style>
  <w:style w:type="paragraph" w:customStyle="1" w:styleId="EditorsNote">
    <w:name w:val="Editor's Note"/>
    <w:basedOn w:val="NO"/>
    <w:rsid w:val="00DF018A"/>
    <w:rPr>
      <w:color w:val="FF0000"/>
    </w:rPr>
  </w:style>
  <w:style w:type="paragraph" w:styleId="List">
    <w:name w:val="List"/>
    <w:basedOn w:val="Normal"/>
    <w:semiHidden/>
    <w:rsid w:val="00DF018A"/>
    <w:pPr>
      <w:ind w:left="568" w:hanging="284"/>
    </w:pPr>
  </w:style>
  <w:style w:type="paragraph" w:styleId="ListBullet">
    <w:name w:val="List Bullet"/>
    <w:basedOn w:val="List"/>
    <w:semiHidden/>
    <w:rsid w:val="00DF018A"/>
  </w:style>
  <w:style w:type="paragraph" w:styleId="ListBullet4">
    <w:name w:val="List Bullet 4"/>
    <w:basedOn w:val="ListBullet3"/>
    <w:semiHidden/>
    <w:rsid w:val="00DF018A"/>
    <w:pPr>
      <w:ind w:left="1418"/>
    </w:pPr>
  </w:style>
  <w:style w:type="paragraph" w:styleId="ListBullet5">
    <w:name w:val="List Bullet 5"/>
    <w:basedOn w:val="ListBullet4"/>
    <w:semiHidden/>
    <w:rsid w:val="00DF018A"/>
    <w:pPr>
      <w:ind w:left="1702"/>
    </w:pPr>
  </w:style>
  <w:style w:type="paragraph" w:customStyle="1" w:styleId="B1">
    <w:name w:val="B1"/>
    <w:basedOn w:val="List"/>
    <w:rsid w:val="00DF018A"/>
  </w:style>
  <w:style w:type="paragraph" w:customStyle="1" w:styleId="B2">
    <w:name w:val="B2"/>
    <w:basedOn w:val="List2"/>
    <w:rsid w:val="00DF018A"/>
  </w:style>
  <w:style w:type="paragraph" w:customStyle="1" w:styleId="B3">
    <w:name w:val="B3"/>
    <w:basedOn w:val="List3"/>
    <w:rsid w:val="00DF018A"/>
  </w:style>
  <w:style w:type="paragraph" w:customStyle="1" w:styleId="B4">
    <w:name w:val="B4"/>
    <w:basedOn w:val="List4"/>
    <w:rsid w:val="00DF018A"/>
  </w:style>
  <w:style w:type="paragraph" w:customStyle="1" w:styleId="B5">
    <w:name w:val="B5"/>
    <w:basedOn w:val="List5"/>
    <w:rsid w:val="00DF018A"/>
  </w:style>
  <w:style w:type="paragraph" w:styleId="Footer">
    <w:name w:val="footer"/>
    <w:basedOn w:val="Header"/>
    <w:rsid w:val="00DF018A"/>
    <w:pPr>
      <w:jc w:val="center"/>
    </w:pPr>
    <w:rPr>
      <w:i/>
    </w:rPr>
  </w:style>
  <w:style w:type="paragraph" w:customStyle="1" w:styleId="ZTD">
    <w:name w:val="ZTD"/>
    <w:basedOn w:val="ZB"/>
    <w:rsid w:val="00DF01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Default">
    <w:name w:val="Default"/>
    <w:basedOn w:val="Normal"/>
    <w:rsid w:val="001C3296"/>
    <w:pPr>
      <w:overflowPunct/>
      <w:adjustRightInd/>
      <w:spacing w:after="0"/>
      <w:textAlignment w:val="auto"/>
    </w:pPr>
    <w:rPr>
      <w:rFonts w:eastAsiaTheme="minorHAnsi"/>
      <w:color w:val="000000"/>
      <w:sz w:val="24"/>
      <w:szCs w:val="24"/>
      <w:lang w:val="fi-FI" w:eastAsia="fi-FI"/>
    </w:rPr>
  </w:style>
  <w:style w:type="character" w:customStyle="1" w:styleId="THChar">
    <w:name w:val="TH Char"/>
    <w:link w:val="TH"/>
    <w:rsid w:val="00C24C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24C90"/>
    <w:rPr>
      <w:rFonts w:ascii="Arial" w:hAnsi="Arial"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674D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9674D4"/>
    <w:rPr>
      <w:rFonts w:ascii="Arial" w:eastAsia="Arial" w:hAnsi="Arial"/>
      <w:b/>
      <w:bCs/>
      <w:noProof/>
      <w:sz w:val="22"/>
      <w:lang w:val="en-GB" w:eastAsia="en-US"/>
    </w:rPr>
  </w:style>
  <w:style w:type="table" w:styleId="TableGrid">
    <w:name w:val="Table Grid"/>
    <w:basedOn w:val="TableNormal"/>
    <w:uiPriority w:val="59"/>
    <w:rsid w:val="00E13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A5455"/>
    <w:rPr>
      <w:sz w:val="24"/>
      <w:szCs w:val="24"/>
    </w:rPr>
  </w:style>
  <w:style w:type="character" w:customStyle="1" w:styleId="TALChar">
    <w:name w:val="TAL Char"/>
    <w:link w:val="TAL"/>
    <w:rsid w:val="00A64564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"/>
    <w:link w:val="ListParagraph"/>
    <w:uiPriority w:val="34"/>
    <w:qFormat/>
    <w:locked/>
    <w:rsid w:val="00DA7D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3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81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17129-93AD-4978-BFB1-64173185A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691</Words>
  <Characters>3783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Nokia-user</cp:lastModifiedBy>
  <cp:revision>2</cp:revision>
  <cp:lastPrinted>1900-01-01T05:59:00Z</cp:lastPrinted>
  <dcterms:created xsi:type="dcterms:W3CDTF">2019-04-01T17:02:00Z</dcterms:created>
  <dcterms:modified xsi:type="dcterms:W3CDTF">2019-04-01T17:02:00Z</dcterms:modified>
</cp:coreProperties>
</file>